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BSid450383" w:displacedByCustomXml="next"/>
    <w:bookmarkEnd w:id="0" w:displacedByCustomXml="next"/>
    <w:sdt>
      <w:sdtPr>
        <w:rPr>
          <w:sz w:val="24"/>
          <w:szCs w:val="24"/>
        </w:rPr>
        <w:id w:val="-4315164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74AFF" w:rsidRPr="00274AFF" w:rsidRDefault="00274AFF" w:rsidP="00274AFF">
          <w:pPr>
            <w:keepNext/>
            <w:keepLines/>
            <w:spacing w:before="240" w:after="0" w:line="240" w:lineRule="auto"/>
            <w:jc w:val="center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  <w:r w:rsidRPr="00274AFF">
            <w:rPr>
              <w:rFonts w:eastAsiaTheme="majorEastAsia" w:cstheme="minorHAnsi"/>
              <w:b/>
              <w:sz w:val="28"/>
              <w:szCs w:val="32"/>
              <w:u w:val="single"/>
            </w:rPr>
            <w:t>Sommaire</w:t>
          </w:r>
        </w:p>
        <w:p w:rsidR="00274AFF" w:rsidRPr="00274AFF" w:rsidRDefault="00274AFF" w:rsidP="00274AFF">
          <w:pPr>
            <w:spacing w:after="0" w:line="240" w:lineRule="auto"/>
            <w:rPr>
              <w:sz w:val="24"/>
              <w:szCs w:val="24"/>
            </w:rPr>
          </w:pPr>
        </w:p>
        <w:p w:rsidR="00274AFF" w:rsidRPr="00274AFF" w:rsidRDefault="00274AFF" w:rsidP="00274AFF">
          <w:pPr>
            <w:spacing w:after="0" w:line="240" w:lineRule="auto"/>
            <w:rPr>
              <w:sz w:val="24"/>
              <w:szCs w:val="24"/>
            </w:rPr>
          </w:pPr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b/>
              <w:sz w:val="24"/>
              <w:szCs w:val="24"/>
              <w:u w:val="single"/>
            </w:rPr>
          </w:pPr>
          <w:r w:rsidRPr="00274AFF">
            <w:rPr>
              <w:b/>
              <w:sz w:val="24"/>
              <w:szCs w:val="24"/>
              <w:u w:val="single"/>
            </w:rPr>
            <w:t>Première partie : Les commerçants</w:t>
          </w:r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r w:rsidRPr="00274AFF">
            <w:rPr>
              <w:b/>
              <w:sz w:val="24"/>
              <w:szCs w:val="24"/>
              <w:u w:val="single"/>
            </w:rPr>
            <w:fldChar w:fldCharType="begin"/>
          </w:r>
          <w:r w:rsidRPr="00274AFF">
            <w:rPr>
              <w:b/>
              <w:sz w:val="24"/>
              <w:szCs w:val="24"/>
              <w:u w:val="single"/>
            </w:rPr>
            <w:instrText xml:space="preserve"> TOC \o "1-3" \h \z \u </w:instrText>
          </w:r>
          <w:r w:rsidRPr="00274AFF">
            <w:rPr>
              <w:b/>
              <w:sz w:val="24"/>
              <w:szCs w:val="24"/>
              <w:u w:val="single"/>
            </w:rPr>
            <w:fldChar w:fldCharType="separate"/>
          </w:r>
          <w:hyperlink w:anchor="_Toc510981735" w:history="1">
            <w:r w:rsidRPr="00274AFF">
              <w:rPr>
                <w:noProof/>
                <w:szCs w:val="24"/>
              </w:rPr>
              <w:t>Fiche n°1 : La définition du commerçant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_Toc510981735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3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36" w:history="1">
            <w:r w:rsidRPr="00274AFF">
              <w:rPr>
                <w:noProof/>
                <w:szCs w:val="24"/>
              </w:rPr>
              <w:t>Fiche n°2 : L’accès à la qualité de commerçant : les conditions relatives à la personne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_Toc510981736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4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37" w:history="1">
            <w:r w:rsidRPr="00274AFF">
              <w:rPr>
                <w:noProof/>
                <w:szCs w:val="24"/>
              </w:rPr>
              <w:t>Fiche n°3 : L’accès à la qualité de commerçant : les conditions relatives à la protection de l’intérêt général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_Toc510981737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5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38" w:history="1">
            <w:r w:rsidRPr="00274AFF">
              <w:rPr>
                <w:noProof/>
                <w:szCs w:val="24"/>
              </w:rPr>
              <w:t>Fiche n°4 : Les obligations du commerçant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_Toc510981738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6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39" w:history="1">
            <w:r w:rsidRPr="00274AFF">
              <w:rPr>
                <w:noProof/>
                <w:szCs w:val="24"/>
              </w:rPr>
              <w:t>Fiche n°5 : Le conjoint du commerçant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_Toc510981739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7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0" w:history="1">
            <w:r w:rsidRPr="00274AFF">
              <w:rPr>
                <w:noProof/>
                <w:szCs w:val="24"/>
              </w:rPr>
              <w:t>Fiche n°6 : La protection du patrimoine du commerçant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_Toc510981740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8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1" w:history="1">
            <w:r w:rsidRPr="00274AFF">
              <w:rPr>
                <w:noProof/>
                <w:szCs w:val="24"/>
              </w:rPr>
              <w:t>Fiche n°7 : L’entreprise individuelle à responsabilité limitée (EIRL)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_Toc510981741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9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noProof/>
              <w:color w:val="0563C1" w:themeColor="hyperlink"/>
              <w:szCs w:val="24"/>
            </w:rPr>
          </w:pPr>
        </w:p>
        <w:p w:rsidR="00274AFF" w:rsidRPr="00274AFF" w:rsidRDefault="00274AFF" w:rsidP="00274AFF">
          <w:pPr>
            <w:spacing w:after="0" w:line="240" w:lineRule="auto"/>
            <w:rPr>
              <w:b/>
              <w:noProof/>
              <w:sz w:val="24"/>
              <w:szCs w:val="24"/>
              <w:u w:val="single"/>
            </w:rPr>
          </w:pPr>
          <w:r w:rsidRPr="00274AFF">
            <w:rPr>
              <w:b/>
              <w:noProof/>
              <w:sz w:val="24"/>
              <w:szCs w:val="24"/>
              <w:u w:val="single"/>
            </w:rPr>
            <w:t>Deuxième partie : Les actes de commerce</w:t>
          </w:r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2" w:history="1">
            <w:r w:rsidRPr="00274AFF">
              <w:rPr>
                <w:noProof/>
                <w:szCs w:val="24"/>
              </w:rPr>
              <w:t>Fiche n°8 : La détermination des actes de commerce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_Toc510981742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11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3" w:history="1">
            <w:r w:rsidRPr="00274AFF">
              <w:rPr>
                <w:noProof/>
                <w:szCs w:val="24"/>
              </w:rPr>
              <w:t>Fiche n°9 : Le régime des actes de commerce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_Toc510981743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13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4" w:history="1">
            <w:r w:rsidRPr="00274AFF">
              <w:rPr>
                <w:noProof/>
                <w:szCs w:val="24"/>
              </w:rPr>
              <w:t>Fiche n°10 : Les règles d’exécution des actes de commerce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_Toc510981744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14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5" w:history="1">
            <w:r w:rsidRPr="00274AFF">
              <w:rPr>
                <w:noProof/>
                <w:szCs w:val="24"/>
              </w:rPr>
              <w:t>Fiche n°11 : Les actes mixtes et les actes de commerce par accessoire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_Toc510981745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15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b/>
              <w:noProof/>
              <w:color w:val="0563C1" w:themeColor="hyperlink"/>
              <w:sz w:val="24"/>
              <w:szCs w:val="24"/>
              <w:u w:val="single"/>
            </w:rPr>
          </w:pPr>
        </w:p>
        <w:p w:rsidR="00274AFF" w:rsidRPr="00274AFF" w:rsidRDefault="00274AFF" w:rsidP="00274AFF">
          <w:pPr>
            <w:spacing w:after="0" w:line="240" w:lineRule="auto"/>
            <w:rPr>
              <w:b/>
              <w:noProof/>
              <w:sz w:val="24"/>
              <w:szCs w:val="24"/>
              <w:u w:val="single"/>
            </w:rPr>
          </w:pPr>
          <w:r w:rsidRPr="00274AFF">
            <w:rPr>
              <w:b/>
              <w:noProof/>
              <w:sz w:val="24"/>
              <w:szCs w:val="24"/>
              <w:u w:val="single"/>
            </w:rPr>
            <w:t>Troisième partie : La justice commerciale</w:t>
          </w:r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6" w:history="1">
            <w:r w:rsidRPr="00274AFF">
              <w:rPr>
                <w:noProof/>
                <w:szCs w:val="24"/>
              </w:rPr>
              <w:t>Fiche n°12 : La justice commerciale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_Toc510981746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16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noProof/>
              <w:color w:val="0563C1" w:themeColor="hyperlink"/>
              <w:szCs w:val="24"/>
            </w:rPr>
          </w:pPr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b/>
              <w:noProof/>
              <w:sz w:val="24"/>
              <w:szCs w:val="24"/>
              <w:u w:val="single"/>
            </w:rPr>
          </w:pPr>
          <w:r w:rsidRPr="00274AFF">
            <w:rPr>
              <w:b/>
              <w:noProof/>
              <w:sz w:val="24"/>
              <w:szCs w:val="24"/>
              <w:u w:val="single"/>
            </w:rPr>
            <w:t>Quatrième partie : Le fonds de commerce</w:t>
          </w:r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b/>
              <w:noProof/>
              <w:szCs w:val="24"/>
              <w:u w:val="single"/>
            </w:rPr>
          </w:pPr>
          <w:r w:rsidRPr="00274AFF">
            <w:rPr>
              <w:b/>
              <w:noProof/>
              <w:szCs w:val="24"/>
              <w:u w:val="single"/>
            </w:rPr>
            <w:t>Première sous-partie : Les éléments constitutifs du fonds de commerce</w:t>
          </w:r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7" w:history="1">
            <w:r w:rsidRPr="00274AFF">
              <w:rPr>
                <w:noProof/>
                <w:szCs w:val="24"/>
              </w:rPr>
              <w:t>Fiche n°13 : Les éléments constitutifs du fonds de commerce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_Toc510981747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17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b/>
              <w:noProof/>
              <w:szCs w:val="24"/>
              <w:u w:val="single"/>
            </w:rPr>
          </w:pPr>
          <w:r w:rsidRPr="00274AFF">
            <w:rPr>
              <w:b/>
              <w:noProof/>
              <w:szCs w:val="24"/>
              <w:u w:val="single"/>
            </w:rPr>
            <w:t>Deuxième sous-partie : Le bail commercial</w:t>
          </w:r>
          <w:bookmarkStart w:id="1" w:name="_GoBack"/>
          <w:bookmarkEnd w:id="1"/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8" w:history="1">
            <w:r w:rsidRPr="00274AFF">
              <w:rPr>
                <w:noProof/>
                <w:szCs w:val="24"/>
              </w:rPr>
              <w:t>Fiche n°14 : Les conditions d’application du statut des baux commerciaux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_Toc510981748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18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49" w:history="1">
            <w:r w:rsidRPr="00274AFF">
              <w:rPr>
                <w:noProof/>
                <w:szCs w:val="24"/>
              </w:rPr>
              <w:t>Fiche n°15 : La durée et le renouvellement du bail commercial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_Toc510981749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20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50" w:history="1">
            <w:r w:rsidRPr="00274AFF">
              <w:rPr>
                <w:noProof/>
                <w:szCs w:val="24"/>
              </w:rPr>
              <w:t>Fiche n°16 : Le loyer du bail commercial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_Toc510981750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21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51" w:history="1">
            <w:r w:rsidRPr="00274AFF">
              <w:rPr>
                <w:noProof/>
                <w:szCs w:val="24"/>
              </w:rPr>
              <w:t>Fiche n°17 : Les droits et obligations relatifs au bail commercial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_Toc510981751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23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b/>
              <w:noProof/>
              <w:szCs w:val="24"/>
              <w:u w:val="single"/>
            </w:rPr>
          </w:pPr>
          <w:r w:rsidRPr="00274AFF">
            <w:rPr>
              <w:b/>
              <w:noProof/>
              <w:szCs w:val="24"/>
              <w:u w:val="single"/>
            </w:rPr>
            <w:t>Troisième sous-partie : Les contrats portant sur le fonds de commerce</w:t>
          </w:r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52" w:history="1">
            <w:r w:rsidRPr="00274AFF">
              <w:rPr>
                <w:noProof/>
                <w:szCs w:val="24"/>
              </w:rPr>
              <w:t>Fiche n°18 : La cession du fonds de commerce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_Toc510981752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25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sz w:val="20"/>
              <w:lang w:eastAsia="fr-FR"/>
            </w:rPr>
          </w:pPr>
          <w:hyperlink w:anchor="_Toc510981753" w:history="1">
            <w:r w:rsidRPr="00274AFF">
              <w:rPr>
                <w:noProof/>
                <w:szCs w:val="24"/>
              </w:rPr>
              <w:t>Fiche n°19 : La location-gérance du fonds de commerce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_Toc510981753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27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tabs>
              <w:tab w:val="right" w:leader="dot" w:pos="9062"/>
            </w:tabs>
            <w:spacing w:after="100" w:line="240" w:lineRule="auto"/>
            <w:rPr>
              <w:rFonts w:eastAsiaTheme="minorEastAsia"/>
              <w:noProof/>
              <w:lang w:eastAsia="fr-FR"/>
            </w:rPr>
          </w:pPr>
          <w:hyperlink w:anchor="_Toc510981754" w:history="1">
            <w:r w:rsidRPr="00274AFF">
              <w:rPr>
                <w:noProof/>
                <w:szCs w:val="24"/>
              </w:rPr>
              <w:t>Fiche n°20 : Le nantissement du fonds de commerce</w:t>
            </w:r>
            <w:r w:rsidRPr="00274AFF">
              <w:rPr>
                <w:noProof/>
                <w:webHidden/>
                <w:szCs w:val="24"/>
              </w:rPr>
              <w:tab/>
            </w:r>
            <w:r w:rsidRPr="00274AFF">
              <w:rPr>
                <w:noProof/>
                <w:webHidden/>
                <w:szCs w:val="24"/>
              </w:rPr>
              <w:fldChar w:fldCharType="begin"/>
            </w:r>
            <w:r w:rsidRPr="00274AFF">
              <w:rPr>
                <w:noProof/>
                <w:webHidden/>
                <w:szCs w:val="24"/>
              </w:rPr>
              <w:instrText xml:space="preserve"> PAGEREF _Toc510981754 \h </w:instrText>
            </w:r>
            <w:r w:rsidRPr="00274AFF">
              <w:rPr>
                <w:noProof/>
                <w:webHidden/>
                <w:szCs w:val="24"/>
              </w:rPr>
            </w:r>
            <w:r w:rsidRPr="00274AFF">
              <w:rPr>
                <w:noProof/>
                <w:webHidden/>
                <w:szCs w:val="24"/>
              </w:rPr>
              <w:fldChar w:fldCharType="separate"/>
            </w:r>
            <w:r w:rsidRPr="00274AFF">
              <w:rPr>
                <w:noProof/>
                <w:webHidden/>
                <w:szCs w:val="24"/>
              </w:rPr>
              <w:t>29</w:t>
            </w:r>
            <w:r w:rsidRPr="00274AFF">
              <w:rPr>
                <w:noProof/>
                <w:webHidden/>
                <w:szCs w:val="24"/>
              </w:rPr>
              <w:fldChar w:fldCharType="end"/>
            </w:r>
          </w:hyperlink>
        </w:p>
        <w:p w:rsidR="00274AFF" w:rsidRPr="00274AFF" w:rsidRDefault="00274AFF" w:rsidP="00274AFF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274AFF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186923" w:rsidRPr="00EE03D3" w:rsidRDefault="00186923" w:rsidP="00186923">
      <w:pPr>
        <w:spacing w:after="0" w:line="240" w:lineRule="auto"/>
        <w:contextualSpacing/>
        <w:jc w:val="both"/>
        <w:rPr>
          <w:rFonts w:eastAsiaTheme="minorEastAsia"/>
          <w:color w:val="000000" w:themeColor="text1"/>
          <w:sz w:val="20"/>
          <w:szCs w:val="20"/>
          <w:lang w:eastAsia="fr-FR"/>
        </w:rPr>
      </w:pPr>
    </w:p>
    <w:sectPr w:rsidR="00186923" w:rsidRPr="00EE03D3" w:rsidSect="00EE03D3">
      <w:headerReference w:type="default" r:id="rId7"/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F2" w:rsidRDefault="009800F2" w:rsidP="00EE03D3">
      <w:pPr>
        <w:spacing w:after="0" w:line="240" w:lineRule="auto"/>
      </w:pPr>
      <w:r>
        <w:separator/>
      </w:r>
    </w:p>
  </w:endnote>
  <w:endnote w:type="continuationSeparator" w:id="0">
    <w:p w:rsidR="009800F2" w:rsidRDefault="009800F2" w:rsidP="00E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 w:rsidP="00EE03D3">
    <w:pPr>
      <w:pStyle w:val="Footer"/>
      <w:jc w:val="center"/>
      <w:rPr>
        <w:b/>
        <w:sz w:val="20"/>
      </w:rPr>
    </w:pPr>
  </w:p>
  <w:p w:rsidR="00EE03D3" w:rsidRPr="00EE03D3" w:rsidRDefault="00EE03D3" w:rsidP="00EE03D3">
    <w:pPr>
      <w:pStyle w:val="Footer"/>
      <w:jc w:val="center"/>
      <w:rPr>
        <w:b/>
        <w:sz w:val="20"/>
      </w:rPr>
    </w:pPr>
    <w:r w:rsidRPr="00EE03D3">
      <w:rPr>
        <w:b/>
        <w:sz w:val="20"/>
      </w:rPr>
      <w:t>fiches-droit.com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F2" w:rsidRDefault="009800F2" w:rsidP="00EE03D3">
      <w:pPr>
        <w:spacing w:after="0" w:line="240" w:lineRule="auto"/>
      </w:pPr>
      <w:r>
        <w:separator/>
      </w:r>
    </w:p>
  </w:footnote>
  <w:footnote w:type="continuationSeparator" w:id="0">
    <w:p w:rsidR="009800F2" w:rsidRDefault="009800F2" w:rsidP="00E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B7BAE" wp14:editId="4A84643A">
          <wp:simplePos x="0" y="0"/>
          <wp:positionH relativeFrom="column">
            <wp:posOffset>5715000</wp:posOffset>
          </wp:positionH>
          <wp:positionV relativeFrom="page">
            <wp:posOffset>113665</wp:posOffset>
          </wp:positionV>
          <wp:extent cx="841032" cy="7696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32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B10"/>
    <w:multiLevelType w:val="hybridMultilevel"/>
    <w:tmpl w:val="8F16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04C"/>
    <w:multiLevelType w:val="hybridMultilevel"/>
    <w:tmpl w:val="0BFCF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6C5"/>
    <w:multiLevelType w:val="hybridMultilevel"/>
    <w:tmpl w:val="221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428"/>
    <w:multiLevelType w:val="hybridMultilevel"/>
    <w:tmpl w:val="14EE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0EA"/>
    <w:multiLevelType w:val="hybridMultilevel"/>
    <w:tmpl w:val="F51E3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26E"/>
    <w:multiLevelType w:val="hybridMultilevel"/>
    <w:tmpl w:val="749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CD6"/>
    <w:multiLevelType w:val="hybridMultilevel"/>
    <w:tmpl w:val="3606CF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BFD"/>
    <w:multiLevelType w:val="hybridMultilevel"/>
    <w:tmpl w:val="8452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7AFA"/>
    <w:multiLevelType w:val="hybridMultilevel"/>
    <w:tmpl w:val="912E0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D3"/>
    <w:rsid w:val="00186923"/>
    <w:rsid w:val="00274AFF"/>
    <w:rsid w:val="003C1C71"/>
    <w:rsid w:val="00514F54"/>
    <w:rsid w:val="00695133"/>
    <w:rsid w:val="008B0E5C"/>
    <w:rsid w:val="00940AD5"/>
    <w:rsid w:val="00961212"/>
    <w:rsid w:val="009800F2"/>
    <w:rsid w:val="009E6D14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FF34"/>
  <w15:chartTrackingRefBased/>
  <w15:docId w15:val="{76E114A3-60FE-47EE-8EF6-D72CA857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D3"/>
  </w:style>
  <w:style w:type="paragraph" w:styleId="Footer">
    <w:name w:val="footer"/>
    <w:basedOn w:val="Normal"/>
    <w:link w:val="FooterCh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2350</Characters>
  <Application>Microsoft Office Word</Application>
  <DocSecurity>0</DocSecurity>
  <Lines>783</Lines>
  <Paragraphs>284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Any Authorised User</cp:lastModifiedBy>
  <cp:revision>2</cp:revision>
  <dcterms:created xsi:type="dcterms:W3CDTF">2018-04-10T14:01:00Z</dcterms:created>
  <dcterms:modified xsi:type="dcterms:W3CDTF">2018-04-10T14:01:00Z</dcterms:modified>
</cp:coreProperties>
</file>