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D6" w:rsidRPr="006126D6" w:rsidRDefault="006126D6" w:rsidP="006126D6">
      <w:pPr>
        <w:keepNext/>
        <w:keepLines/>
        <w:spacing w:after="0" w:line="36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  <w:u w:val="single"/>
          <w:lang w:eastAsia="fr-FR"/>
        </w:rPr>
      </w:pPr>
      <w:r w:rsidRPr="006126D6"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  <w:u w:val="single"/>
          <w:lang w:eastAsia="fr-FR"/>
        </w:rPr>
        <w:t>Sommaire</w:t>
      </w:r>
    </w:p>
    <w:p w:rsidR="008C1BF6" w:rsidRDefault="008C1BF6" w:rsidP="006126D6">
      <w:pPr>
        <w:spacing w:after="0" w:line="360" w:lineRule="auto"/>
        <w:rPr>
          <w:b/>
          <w:sz w:val="24"/>
          <w:szCs w:val="24"/>
          <w:u w:val="single"/>
          <w:lang w:eastAsia="fr-FR"/>
        </w:rPr>
      </w:pPr>
    </w:p>
    <w:p w:rsidR="006126D6" w:rsidRPr="006126D6" w:rsidRDefault="006126D6" w:rsidP="006126D6">
      <w:pPr>
        <w:spacing w:after="0" w:line="360" w:lineRule="auto"/>
        <w:rPr>
          <w:b/>
          <w:sz w:val="24"/>
          <w:szCs w:val="24"/>
          <w:u w:val="single"/>
          <w:lang w:eastAsia="fr-FR"/>
        </w:rPr>
      </w:pPr>
      <w:r w:rsidRPr="006126D6">
        <w:rPr>
          <w:b/>
          <w:sz w:val="24"/>
          <w:szCs w:val="24"/>
          <w:u w:val="single"/>
          <w:lang w:eastAsia="fr-FR"/>
        </w:rPr>
        <w:t>Introduction</w:t>
      </w:r>
    </w:p>
    <w:p w:rsidR="006126D6" w:rsidRPr="006126D6" w:rsidRDefault="006126D6" w:rsidP="006126D6">
      <w:pPr>
        <w:tabs>
          <w:tab w:val="right" w:leader="dot" w:pos="9062"/>
        </w:tabs>
        <w:spacing w:after="0" w:line="360" w:lineRule="auto"/>
        <w:rPr>
          <w:noProof/>
          <w:sz w:val="24"/>
          <w:szCs w:val="24"/>
          <w:u w:val="single"/>
        </w:rPr>
      </w:pPr>
      <w:r w:rsidRPr="006126D6">
        <w:rPr>
          <w:b/>
          <w:noProof/>
          <w:sz w:val="24"/>
          <w:szCs w:val="24"/>
        </w:rPr>
        <w:fldChar w:fldCharType="begin"/>
      </w:r>
      <w:r w:rsidRPr="006126D6">
        <w:rPr>
          <w:b/>
          <w:noProof/>
          <w:sz w:val="24"/>
          <w:szCs w:val="24"/>
        </w:rPr>
        <w:instrText xml:space="preserve"> TOC \o "1-3" \h \z \u </w:instrText>
      </w:r>
      <w:r w:rsidRPr="006126D6">
        <w:rPr>
          <w:b/>
          <w:noProof/>
          <w:sz w:val="24"/>
          <w:szCs w:val="24"/>
        </w:rPr>
        <w:fldChar w:fldCharType="separate"/>
      </w:r>
      <w:hyperlink w:anchor="_Toc528153613" w:history="1">
        <w:r w:rsidRPr="006126D6">
          <w:rPr>
            <w:noProof/>
            <w:sz w:val="24"/>
            <w:szCs w:val="24"/>
            <w:u w:val="single"/>
          </w:rPr>
          <w:t>Fiche n°1 : Introduction au droit des personnes</w:t>
        </w:r>
        <w:r w:rsidRPr="006126D6">
          <w:rPr>
            <w:b/>
            <w:noProof/>
            <w:webHidden/>
            <w:sz w:val="24"/>
            <w:szCs w:val="24"/>
          </w:rPr>
          <w:tab/>
        </w:r>
        <w:r w:rsidRPr="006126D6">
          <w:rPr>
            <w:b/>
            <w:noProof/>
            <w:webHidden/>
            <w:sz w:val="24"/>
            <w:szCs w:val="24"/>
          </w:rPr>
          <w:fldChar w:fldCharType="begin"/>
        </w:r>
        <w:r w:rsidRPr="006126D6">
          <w:rPr>
            <w:b/>
            <w:noProof/>
            <w:webHidden/>
            <w:sz w:val="24"/>
            <w:szCs w:val="24"/>
          </w:rPr>
          <w:instrText xml:space="preserve"> PAGEREF _Toc528153613 \h </w:instrText>
        </w:r>
        <w:r w:rsidRPr="006126D6">
          <w:rPr>
            <w:b/>
            <w:noProof/>
            <w:webHidden/>
            <w:sz w:val="24"/>
            <w:szCs w:val="24"/>
          </w:rPr>
        </w:r>
        <w:r w:rsidRPr="006126D6">
          <w:rPr>
            <w:b/>
            <w:noProof/>
            <w:webHidden/>
            <w:sz w:val="24"/>
            <w:szCs w:val="24"/>
          </w:rPr>
          <w:fldChar w:fldCharType="separate"/>
        </w:r>
        <w:r w:rsidRPr="006126D6">
          <w:rPr>
            <w:b/>
            <w:noProof/>
            <w:webHidden/>
            <w:sz w:val="24"/>
            <w:szCs w:val="24"/>
          </w:rPr>
          <w:t>3</w:t>
        </w:r>
        <w:r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6126D6" w:rsidP="006126D6">
      <w:pPr>
        <w:spacing w:after="0" w:line="360" w:lineRule="auto"/>
        <w:rPr>
          <w:b/>
          <w:noProof/>
          <w:sz w:val="24"/>
          <w:szCs w:val="24"/>
          <w:u w:val="single"/>
        </w:rPr>
      </w:pPr>
      <w:r w:rsidRPr="006126D6">
        <w:rPr>
          <w:b/>
          <w:noProof/>
          <w:sz w:val="24"/>
          <w:szCs w:val="24"/>
          <w:u w:val="single"/>
        </w:rPr>
        <w:t>Partie n° 1 : Les personnes physiques</w:t>
      </w:r>
    </w:p>
    <w:p w:rsidR="006126D6" w:rsidRPr="006126D6" w:rsidRDefault="006126D6" w:rsidP="006126D6">
      <w:pPr>
        <w:spacing w:after="0" w:line="360" w:lineRule="auto"/>
        <w:rPr>
          <w:noProof/>
          <w:sz w:val="24"/>
          <w:szCs w:val="24"/>
        </w:rPr>
      </w:pPr>
      <w:r w:rsidRPr="006126D6">
        <w:rPr>
          <w:b/>
          <w:noProof/>
          <w:sz w:val="24"/>
          <w:szCs w:val="24"/>
        </w:rPr>
        <w:t>Thème n° 1 : La personnalité des personnes physiques</w:t>
      </w:r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14" w:history="1">
        <w:r w:rsidR="006126D6" w:rsidRPr="006126D6">
          <w:rPr>
            <w:noProof/>
            <w:sz w:val="24"/>
            <w:szCs w:val="24"/>
            <w:u w:val="single"/>
          </w:rPr>
          <w:t>Fiche n°2 : L’acquisition de la personnalité juridique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_Toc528153614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4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15" w:history="1">
        <w:r w:rsidR="006126D6" w:rsidRPr="006126D6">
          <w:rPr>
            <w:noProof/>
            <w:sz w:val="24"/>
            <w:szCs w:val="24"/>
            <w:u w:val="single"/>
          </w:rPr>
          <w:t>Fiche n°3 : La fin de la personnalité juridique : la mort certaine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_Toc528153615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6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16" w:history="1">
        <w:r w:rsidR="006126D6" w:rsidRPr="006126D6">
          <w:rPr>
            <w:noProof/>
            <w:sz w:val="24"/>
            <w:szCs w:val="24"/>
            <w:u w:val="single"/>
          </w:rPr>
          <w:t>Fiche n°4 : La mort incertaine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_Toc528153616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7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6126D6" w:rsidP="006126D6">
      <w:pPr>
        <w:tabs>
          <w:tab w:val="right" w:leader="dot" w:pos="9062"/>
        </w:tabs>
        <w:spacing w:after="0" w:line="360" w:lineRule="auto"/>
        <w:rPr>
          <w:b/>
          <w:noProof/>
          <w:sz w:val="24"/>
          <w:szCs w:val="24"/>
        </w:rPr>
      </w:pPr>
      <w:r w:rsidRPr="006126D6">
        <w:rPr>
          <w:b/>
          <w:noProof/>
          <w:sz w:val="24"/>
          <w:szCs w:val="24"/>
        </w:rPr>
        <w:t>Thème n° 2 : L'identification des personnes physiques</w:t>
      </w:r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17" w:history="1">
        <w:r w:rsidR="006126D6" w:rsidRPr="006126D6">
          <w:rPr>
            <w:noProof/>
            <w:sz w:val="24"/>
            <w:szCs w:val="24"/>
            <w:u w:val="single"/>
          </w:rPr>
          <w:t>Fiche n°5 : Le nom et le prénom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_Toc528153617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8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18" w:history="1">
        <w:r w:rsidR="006126D6" w:rsidRPr="006126D6">
          <w:rPr>
            <w:noProof/>
            <w:sz w:val="24"/>
            <w:szCs w:val="24"/>
            <w:u w:val="single"/>
          </w:rPr>
          <w:t>Fiche n°6 : Le domicile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_Toc528153618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10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19" w:history="1">
        <w:r w:rsidR="006126D6" w:rsidRPr="006126D6">
          <w:rPr>
            <w:noProof/>
            <w:sz w:val="24"/>
            <w:szCs w:val="24"/>
            <w:u w:val="single"/>
          </w:rPr>
          <w:t>Fiche n°7 : Le sexe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_Toc528153619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11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0" w:history="1">
        <w:r w:rsidR="006126D6" w:rsidRPr="006126D6">
          <w:rPr>
            <w:noProof/>
            <w:sz w:val="24"/>
            <w:szCs w:val="24"/>
            <w:u w:val="single"/>
          </w:rPr>
          <w:t>Fiche n°8 : La nationalité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_Toc528153620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12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6126D6" w:rsidP="006126D6">
      <w:pPr>
        <w:tabs>
          <w:tab w:val="right" w:leader="dot" w:pos="9062"/>
        </w:tabs>
        <w:spacing w:after="0" w:line="360" w:lineRule="auto"/>
        <w:rPr>
          <w:b/>
          <w:noProof/>
          <w:sz w:val="24"/>
          <w:szCs w:val="24"/>
        </w:rPr>
      </w:pPr>
      <w:r w:rsidRPr="006126D6">
        <w:rPr>
          <w:b/>
          <w:noProof/>
          <w:sz w:val="24"/>
          <w:szCs w:val="24"/>
        </w:rPr>
        <w:t>Thème n° 3 : Les droits des personnes physiques</w:t>
      </w:r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1" w:history="1">
        <w:r w:rsidR="006126D6" w:rsidRPr="006126D6">
          <w:rPr>
            <w:noProof/>
            <w:sz w:val="24"/>
            <w:szCs w:val="24"/>
            <w:u w:val="single"/>
          </w:rPr>
          <w:t>Fiche n°9 : Le droit au respect de la vie privée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_Toc528153621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14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2" w:history="1">
        <w:r w:rsidR="006126D6" w:rsidRPr="006126D6">
          <w:rPr>
            <w:noProof/>
            <w:sz w:val="24"/>
            <w:szCs w:val="24"/>
            <w:u w:val="single"/>
          </w:rPr>
          <w:t>Fiche n°10 : Le droit à l’image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_Toc528153622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16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3" w:history="1">
        <w:r w:rsidR="006126D6" w:rsidRPr="006126D6">
          <w:rPr>
            <w:noProof/>
            <w:sz w:val="24"/>
            <w:szCs w:val="24"/>
            <w:u w:val="single"/>
          </w:rPr>
          <w:t>Fiche n°11 : Le respect de l’intégrité physique de la personne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_Toc528153623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17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6126D6" w:rsidP="006126D6">
      <w:pPr>
        <w:tabs>
          <w:tab w:val="right" w:leader="dot" w:pos="9062"/>
        </w:tabs>
        <w:spacing w:after="0" w:line="360" w:lineRule="auto"/>
        <w:rPr>
          <w:b/>
          <w:noProof/>
          <w:sz w:val="24"/>
          <w:szCs w:val="24"/>
        </w:rPr>
      </w:pPr>
      <w:r w:rsidRPr="006126D6">
        <w:rPr>
          <w:b/>
          <w:noProof/>
          <w:sz w:val="24"/>
          <w:szCs w:val="24"/>
        </w:rPr>
        <w:t>Thème n° 4 : Les mineurs</w:t>
      </w:r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4" w:history="1">
        <w:r w:rsidR="006126D6" w:rsidRPr="006126D6">
          <w:rPr>
            <w:noProof/>
            <w:sz w:val="24"/>
            <w:szCs w:val="24"/>
            <w:u w:val="single"/>
          </w:rPr>
          <w:t>Fiche n°12 : Le mineur non émancipé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_Toc528153624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19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5" w:history="1">
        <w:r w:rsidR="006126D6" w:rsidRPr="006126D6">
          <w:rPr>
            <w:noProof/>
            <w:sz w:val="24"/>
            <w:szCs w:val="24"/>
            <w:u w:val="single"/>
            <w:lang w:eastAsia="fr-FR"/>
          </w:rPr>
          <w:t>Fiche n°13 : Le mineur émancipé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_Toc528153625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21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6126D6" w:rsidP="006126D6">
      <w:pPr>
        <w:tabs>
          <w:tab w:val="right" w:leader="dot" w:pos="9062"/>
        </w:tabs>
        <w:spacing w:after="0" w:line="360" w:lineRule="auto"/>
        <w:rPr>
          <w:b/>
          <w:noProof/>
          <w:sz w:val="24"/>
          <w:szCs w:val="24"/>
        </w:rPr>
      </w:pPr>
      <w:r w:rsidRPr="006126D6">
        <w:rPr>
          <w:b/>
          <w:noProof/>
          <w:sz w:val="24"/>
          <w:szCs w:val="24"/>
        </w:rPr>
        <w:t>Thème n° 5 : Les majeurs protégés</w:t>
      </w:r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6" w:history="1">
        <w:r w:rsidR="006126D6" w:rsidRPr="006126D6">
          <w:rPr>
            <w:noProof/>
            <w:sz w:val="24"/>
            <w:szCs w:val="24"/>
            <w:u w:val="single"/>
          </w:rPr>
          <w:t>Fiche n°14 : Les règles générales de protection des majeurs et les règles communes aux différents régimes de protection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_Toc528153626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22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7" w:history="1">
        <w:r w:rsidR="006126D6" w:rsidRPr="006126D6">
          <w:rPr>
            <w:noProof/>
            <w:sz w:val="24"/>
            <w:szCs w:val="24"/>
            <w:u w:val="single"/>
            <w:lang w:eastAsia="fr-FR"/>
          </w:rPr>
          <w:t>Fiche n°15 : La sauvegarde de justice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_Toc528153627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24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8" w:history="1">
        <w:r w:rsidR="006126D6" w:rsidRPr="006126D6">
          <w:rPr>
            <w:noProof/>
            <w:sz w:val="24"/>
            <w:szCs w:val="24"/>
            <w:u w:val="single"/>
            <w:lang w:eastAsia="fr-FR"/>
          </w:rPr>
          <w:t>Fiche n°16 : Le mandat de protection future et l’habilitation familiale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_Toc528153628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25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29" w:history="1">
        <w:r w:rsidR="006126D6" w:rsidRPr="006126D6">
          <w:rPr>
            <w:noProof/>
            <w:sz w:val="24"/>
            <w:szCs w:val="24"/>
            <w:u w:val="single"/>
            <w:lang w:eastAsia="fr-FR"/>
          </w:rPr>
          <w:t>Fiche n°17 : La curatelle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_Toc528153629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26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30" w:history="1">
        <w:r w:rsidR="006126D6" w:rsidRPr="006126D6">
          <w:rPr>
            <w:noProof/>
            <w:sz w:val="24"/>
            <w:szCs w:val="24"/>
            <w:u w:val="single"/>
            <w:lang w:eastAsia="fr-FR"/>
          </w:rPr>
          <w:t>Fiche n°18 : La tutelle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_Toc528153630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29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6126D6" w:rsidP="006126D6">
      <w:pPr>
        <w:tabs>
          <w:tab w:val="right" w:leader="dot" w:pos="9062"/>
        </w:tabs>
        <w:spacing w:after="0" w:line="360" w:lineRule="auto"/>
        <w:rPr>
          <w:b/>
          <w:noProof/>
          <w:sz w:val="24"/>
          <w:szCs w:val="24"/>
          <w:u w:val="single"/>
        </w:rPr>
      </w:pPr>
      <w:r w:rsidRPr="006126D6">
        <w:rPr>
          <w:b/>
          <w:noProof/>
          <w:sz w:val="24"/>
          <w:szCs w:val="24"/>
          <w:u w:val="single"/>
        </w:rPr>
        <w:t>Partie n° 2 : Les personnes morales</w:t>
      </w:r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31" w:history="1">
        <w:r w:rsidR="006126D6" w:rsidRPr="006126D6">
          <w:rPr>
            <w:noProof/>
            <w:sz w:val="24"/>
            <w:szCs w:val="24"/>
            <w:u w:val="single"/>
            <w:lang w:eastAsia="fr-FR"/>
          </w:rPr>
          <w:t>Fiche n°19 : La nature et la diversité des personnes morales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_Toc528153631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31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6126D6" w:rsidRPr="006126D6" w:rsidRDefault="00203802" w:rsidP="006126D6">
      <w:pPr>
        <w:tabs>
          <w:tab w:val="right" w:leader="dot" w:pos="9062"/>
        </w:tabs>
        <w:spacing w:after="0" w:line="360" w:lineRule="auto"/>
        <w:rPr>
          <w:rFonts w:eastAsiaTheme="minorEastAsia"/>
          <w:b/>
          <w:noProof/>
          <w:sz w:val="24"/>
          <w:szCs w:val="24"/>
          <w:lang w:eastAsia="fr-FR"/>
        </w:rPr>
      </w:pPr>
      <w:hyperlink w:anchor="_Toc528153632" w:history="1">
        <w:r w:rsidR="006126D6" w:rsidRPr="006126D6">
          <w:rPr>
            <w:noProof/>
            <w:sz w:val="24"/>
            <w:szCs w:val="24"/>
            <w:u w:val="single"/>
            <w:lang w:eastAsia="fr-FR"/>
          </w:rPr>
          <w:t>Fiche n°20 : Le régime des personnes morales</w:t>
        </w:r>
        <w:r w:rsidR="006126D6" w:rsidRPr="006126D6">
          <w:rPr>
            <w:b/>
            <w:noProof/>
            <w:webHidden/>
            <w:sz w:val="24"/>
            <w:szCs w:val="24"/>
          </w:rPr>
          <w:tab/>
        </w:r>
        <w:r w:rsidR="006126D6" w:rsidRPr="006126D6">
          <w:rPr>
            <w:b/>
            <w:noProof/>
            <w:webHidden/>
            <w:sz w:val="24"/>
            <w:szCs w:val="24"/>
          </w:rPr>
          <w:fldChar w:fldCharType="begin"/>
        </w:r>
        <w:r w:rsidR="006126D6" w:rsidRPr="006126D6">
          <w:rPr>
            <w:b/>
            <w:noProof/>
            <w:webHidden/>
            <w:sz w:val="24"/>
            <w:szCs w:val="24"/>
          </w:rPr>
          <w:instrText xml:space="preserve"> PAGEREF _Toc528153632 \h </w:instrText>
        </w:r>
        <w:r w:rsidR="006126D6" w:rsidRPr="006126D6">
          <w:rPr>
            <w:b/>
            <w:noProof/>
            <w:webHidden/>
            <w:sz w:val="24"/>
            <w:szCs w:val="24"/>
          </w:rPr>
        </w:r>
        <w:r w:rsidR="006126D6" w:rsidRPr="006126D6">
          <w:rPr>
            <w:b/>
            <w:noProof/>
            <w:webHidden/>
            <w:sz w:val="24"/>
            <w:szCs w:val="24"/>
          </w:rPr>
          <w:fldChar w:fldCharType="separate"/>
        </w:r>
        <w:r w:rsidR="006126D6" w:rsidRPr="006126D6">
          <w:rPr>
            <w:b/>
            <w:noProof/>
            <w:webHidden/>
            <w:sz w:val="24"/>
            <w:szCs w:val="24"/>
          </w:rPr>
          <w:t>32</w:t>
        </w:r>
        <w:r w:rsidR="006126D6" w:rsidRPr="006126D6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86923" w:rsidRPr="008F5E63" w:rsidRDefault="006126D6" w:rsidP="006126D6">
      <w:pPr>
        <w:keepNext/>
        <w:keepLines/>
        <w:spacing w:after="0" w:line="360" w:lineRule="auto"/>
        <w:rPr>
          <w:b/>
          <w:bCs/>
        </w:rPr>
      </w:pPr>
      <w:r w:rsidRPr="006126D6">
        <w:rPr>
          <w:bCs/>
        </w:rPr>
        <w:fldChar w:fldCharType="end"/>
      </w:r>
      <w:bookmarkStart w:id="0" w:name="_GoBack"/>
      <w:bookmarkEnd w:id="0"/>
    </w:p>
    <w:sectPr w:rsidR="00186923" w:rsidRPr="008F5E63" w:rsidSect="00EE03D3">
      <w:headerReference w:type="default" r:id="rId8"/>
      <w:footerReference w:type="default" r:id="rId9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02" w:rsidRDefault="00203802" w:rsidP="00EE03D3">
      <w:pPr>
        <w:spacing w:after="0" w:line="240" w:lineRule="auto"/>
      </w:pPr>
      <w:r>
        <w:separator/>
      </w:r>
    </w:p>
  </w:endnote>
  <w:endnote w:type="continuationSeparator" w:id="0">
    <w:p w:rsidR="00203802" w:rsidRDefault="00203802" w:rsidP="00E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 w:rsidP="00EE03D3">
    <w:pPr>
      <w:pStyle w:val="Pieddepage"/>
      <w:jc w:val="center"/>
      <w:rPr>
        <w:b/>
        <w:sz w:val="20"/>
      </w:rPr>
    </w:pPr>
  </w:p>
  <w:p w:rsidR="00EE03D3" w:rsidRPr="00EE03D3" w:rsidRDefault="00EE03D3" w:rsidP="00EE03D3">
    <w:pPr>
      <w:pStyle w:val="Pieddepage"/>
      <w:jc w:val="center"/>
      <w:rPr>
        <w:b/>
        <w:sz w:val="20"/>
      </w:rPr>
    </w:pPr>
    <w:r w:rsidRPr="00EE03D3">
      <w:rPr>
        <w:b/>
        <w:sz w:val="20"/>
      </w:rPr>
      <w:t>fiches-droit.com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02" w:rsidRDefault="00203802" w:rsidP="00EE03D3">
      <w:pPr>
        <w:spacing w:after="0" w:line="240" w:lineRule="auto"/>
      </w:pPr>
      <w:r>
        <w:separator/>
      </w:r>
    </w:p>
  </w:footnote>
  <w:footnote w:type="continuationSeparator" w:id="0">
    <w:p w:rsidR="00203802" w:rsidRDefault="00203802" w:rsidP="00E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B7BAE" wp14:editId="4A84643A">
          <wp:simplePos x="0" y="0"/>
          <wp:positionH relativeFrom="column">
            <wp:posOffset>5715000</wp:posOffset>
          </wp:positionH>
          <wp:positionV relativeFrom="page">
            <wp:posOffset>113665</wp:posOffset>
          </wp:positionV>
          <wp:extent cx="841032" cy="7696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2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B10"/>
    <w:multiLevelType w:val="hybridMultilevel"/>
    <w:tmpl w:val="8F16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04C"/>
    <w:multiLevelType w:val="hybridMultilevel"/>
    <w:tmpl w:val="0BFCF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6C5"/>
    <w:multiLevelType w:val="hybridMultilevel"/>
    <w:tmpl w:val="221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428"/>
    <w:multiLevelType w:val="hybridMultilevel"/>
    <w:tmpl w:val="14EE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EA"/>
    <w:multiLevelType w:val="hybridMultilevel"/>
    <w:tmpl w:val="F51E3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26E"/>
    <w:multiLevelType w:val="hybridMultilevel"/>
    <w:tmpl w:val="749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CD6"/>
    <w:multiLevelType w:val="hybridMultilevel"/>
    <w:tmpl w:val="3606C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BFD"/>
    <w:multiLevelType w:val="hybridMultilevel"/>
    <w:tmpl w:val="8452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AFA"/>
    <w:multiLevelType w:val="hybridMultilevel"/>
    <w:tmpl w:val="912E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D3"/>
    <w:rsid w:val="00042D4B"/>
    <w:rsid w:val="0006797E"/>
    <w:rsid w:val="00094D49"/>
    <w:rsid w:val="001040FD"/>
    <w:rsid w:val="00186923"/>
    <w:rsid w:val="00203802"/>
    <w:rsid w:val="00274AFF"/>
    <w:rsid w:val="002B6ECE"/>
    <w:rsid w:val="00314A05"/>
    <w:rsid w:val="00346011"/>
    <w:rsid w:val="00354932"/>
    <w:rsid w:val="003C1C71"/>
    <w:rsid w:val="00514F54"/>
    <w:rsid w:val="005478C2"/>
    <w:rsid w:val="00552032"/>
    <w:rsid w:val="006126D6"/>
    <w:rsid w:val="00621FC1"/>
    <w:rsid w:val="00695133"/>
    <w:rsid w:val="008B0E5C"/>
    <w:rsid w:val="008C1BF6"/>
    <w:rsid w:val="008F5E63"/>
    <w:rsid w:val="00940AD5"/>
    <w:rsid w:val="00961212"/>
    <w:rsid w:val="00961277"/>
    <w:rsid w:val="009800F2"/>
    <w:rsid w:val="00986349"/>
    <w:rsid w:val="009E6D14"/>
    <w:rsid w:val="00A16BBF"/>
    <w:rsid w:val="00A26DB2"/>
    <w:rsid w:val="00A55846"/>
    <w:rsid w:val="00AD3E33"/>
    <w:rsid w:val="00B262D7"/>
    <w:rsid w:val="00C15CB3"/>
    <w:rsid w:val="00C5543C"/>
    <w:rsid w:val="00C661FA"/>
    <w:rsid w:val="00CF12C1"/>
    <w:rsid w:val="00D42007"/>
    <w:rsid w:val="00D533D2"/>
    <w:rsid w:val="00D54635"/>
    <w:rsid w:val="00DE612D"/>
    <w:rsid w:val="00E0216E"/>
    <w:rsid w:val="00E31A89"/>
    <w:rsid w:val="00EC6B84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C0A1"/>
  <w15:chartTrackingRefBased/>
  <w15:docId w15:val="{76E114A3-60FE-47EE-8EF6-D72CA85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D3"/>
  </w:style>
  <w:style w:type="paragraph" w:styleId="Pieddepage">
    <w:name w:val="footer"/>
    <w:basedOn w:val="Normal"/>
    <w:link w:val="Pieddepag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D3"/>
  </w:style>
  <w:style w:type="character" w:styleId="Lienhypertexte">
    <w:name w:val="Hyperlink"/>
    <w:basedOn w:val="Policepardfaut"/>
    <w:uiPriority w:val="99"/>
    <w:semiHidden/>
    <w:unhideWhenUsed/>
    <w:rsid w:val="0006797E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797E"/>
    <w:pPr>
      <w:tabs>
        <w:tab w:val="right" w:leader="dot" w:pos="9062"/>
      </w:tabs>
      <w:spacing w:after="100" w:line="256" w:lineRule="auto"/>
    </w:pPr>
    <w:rPr>
      <w:b/>
      <w:sz w:val="24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7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97E"/>
    <w:pPr>
      <w:spacing w:line="25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3D1C-DCE6-4CF6-9385-65787F5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Bizeau</cp:lastModifiedBy>
  <cp:revision>9</cp:revision>
  <dcterms:created xsi:type="dcterms:W3CDTF">2018-11-01T20:39:00Z</dcterms:created>
  <dcterms:modified xsi:type="dcterms:W3CDTF">2018-11-01T20:43:00Z</dcterms:modified>
</cp:coreProperties>
</file>